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23" w:rsidRDefault="0071598C">
      <w:pPr>
        <w:rPr>
          <w:rStyle w:val="transcribedword"/>
        </w:rPr>
      </w:pPr>
      <w:proofErr w:type="spellStart"/>
      <w:proofErr w:type="gramStart"/>
      <w:r>
        <w:rPr>
          <w:rStyle w:val="transcribedword"/>
        </w:rPr>
        <w:t>ɛnɪmi</w:t>
      </w:r>
      <w:proofErr w:type="spellEnd"/>
      <w:proofErr w:type="gramEnd"/>
      <w:r>
        <w:rPr>
          <w:rStyle w:val="nontranscriptable"/>
        </w:rPr>
        <w:t xml:space="preserve"> </w:t>
      </w:r>
      <w:r>
        <w:br/>
      </w:r>
      <w:hyperlink r:id="rId5" w:history="1">
        <w:proofErr w:type="spellStart"/>
        <w:r>
          <w:rPr>
            <w:rStyle w:val="Hyperlink"/>
          </w:rPr>
          <w:t>kəˈlɛkt</w:t>
        </w:r>
        <w:proofErr w:type="spellEnd"/>
      </w:hyperlink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kæpɪtl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kɑ</w:t>
      </w:r>
      <w:proofErr w:type="spellEnd"/>
      <w:r>
        <w:rPr>
          <w:rStyle w:val="transcribedword"/>
        </w:rPr>
        <w:t>ːˈ</w:t>
      </w:r>
      <w:proofErr w:type="spellStart"/>
      <w:r>
        <w:rPr>
          <w:rStyle w:val="transcribedword"/>
        </w:rPr>
        <w:t>neɪʃən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pærədaɪs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səbˈtrækt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ɛlɪfənt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əbˈzɜːvə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prɒfɪt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ˌ</w:t>
      </w:r>
      <w:proofErr w:type="spellStart"/>
      <w:r>
        <w:rPr>
          <w:rStyle w:val="transcribedword"/>
        </w:rPr>
        <w:t>ɛntəˈteɪn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bɪʃəp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æspɛkt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əˈfeə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kɑːpɪt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dɪˈfiːt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ɒfɪs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əˈreɪ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pəˈtrəʊl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dɛntɪst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ɔːtəm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fɜːnɪʧə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dɪˈzɑːstə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dɪˈsaɪpl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æmbjʊləns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kwɒntɪti</w:t>
      </w:r>
      <w:proofErr w:type="spellEnd"/>
    </w:p>
    <w:p w:rsidR="0071598C" w:rsidRDefault="0071598C">
      <w:pPr>
        <w:rPr>
          <w:rStyle w:val="transcribedword"/>
        </w:rPr>
      </w:pPr>
      <w:proofErr w:type="spellStart"/>
      <w:r>
        <w:rPr>
          <w:rStyle w:val="transcribedword"/>
        </w:rPr>
        <w:t>kəˈθiːdrəl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hɒləkɔːst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trænˈzɪstə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æksɪdənt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təˈmɑːtəʊ</w:t>
      </w:r>
      <w:proofErr w:type="spellEnd"/>
    </w:p>
    <w:p w:rsidR="0071598C" w:rsidRDefault="0071598C">
      <w:pPr>
        <w:rPr>
          <w:rStyle w:val="transcribedword"/>
        </w:rPr>
      </w:pPr>
    </w:p>
    <w:p w:rsidR="0071598C" w:rsidRDefault="0071598C"/>
    <w:p w:rsidR="0071598C" w:rsidRDefault="0071598C">
      <w:pPr>
        <w:rPr>
          <w:rStyle w:val="transcribedword"/>
        </w:rPr>
      </w:pPr>
      <w:proofErr w:type="spellStart"/>
      <w:r>
        <w:rPr>
          <w:rStyle w:val="transcribedword"/>
        </w:rPr>
        <w:t>dɪˈsiːv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ʃɑːpən</w:t>
      </w:r>
      <w:proofErr w:type="spellEnd"/>
      <w:r>
        <w:rPr>
          <w:rStyle w:val="nontranscriptable"/>
        </w:rPr>
        <w:t xml:space="preserve"> </w:t>
      </w:r>
      <w:r>
        <w:br/>
      </w:r>
      <w:hyperlink r:id="rId6" w:history="1">
        <w:proofErr w:type="spellStart"/>
        <w:r>
          <w:rPr>
            <w:rStyle w:val="Hyperlink"/>
          </w:rPr>
          <w:t>kəˈlɛkt</w:t>
        </w:r>
        <w:proofErr w:type="spellEnd"/>
      </w:hyperlink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prəˈnaʊns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kɒpi</w:t>
      </w:r>
      <w:proofErr w:type="spellEnd"/>
      <w:r>
        <w:rPr>
          <w:rStyle w:val="nontranscriptable"/>
        </w:rPr>
        <w:t xml:space="preserve"> </w:t>
      </w:r>
      <w:r>
        <w:br/>
      </w:r>
      <w:hyperlink r:id="rId7" w:history="1">
        <w:r>
          <w:rPr>
            <w:rStyle w:val="Hyperlink"/>
          </w:rPr>
          <w:t>ˈ</w:t>
        </w:r>
        <w:proofErr w:type="spellStart"/>
        <w:r>
          <w:rPr>
            <w:rStyle w:val="Hyperlink"/>
          </w:rPr>
          <w:t>ɒbʤɪkt</w:t>
        </w:r>
        <w:proofErr w:type="spellEnd"/>
      </w:hyperlink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kɒŋkə</w:t>
      </w:r>
      <w:proofErr w:type="spellEnd"/>
      <w:r>
        <w:rPr>
          <w:rStyle w:val="nontranscriptable"/>
        </w:rPr>
        <w:t xml:space="preserve"> </w:t>
      </w:r>
      <w:r>
        <w:br/>
      </w:r>
      <w:hyperlink r:id="rId8" w:history="1">
        <w:r>
          <w:rPr>
            <w:rStyle w:val="Hyperlink"/>
          </w:rPr>
          <w:t>ˈ</w:t>
        </w:r>
        <w:proofErr w:type="spellStart"/>
        <w:r>
          <w:rPr>
            <w:rStyle w:val="Hyperlink"/>
          </w:rPr>
          <w:t>rɛkɔːd</w:t>
        </w:r>
        <w:proofErr w:type="spellEnd"/>
      </w:hyperlink>
      <w:r>
        <w:rPr>
          <w:rStyle w:val="nontranscriptable"/>
        </w:rPr>
        <w:t xml:space="preserve"> </w:t>
      </w:r>
      <w:r>
        <w:br/>
      </w:r>
      <w:hyperlink r:id="rId9" w:history="1">
        <w:r>
          <w:rPr>
            <w:rStyle w:val="Hyperlink"/>
          </w:rPr>
          <w:t>ˈ</w:t>
        </w:r>
        <w:proofErr w:type="spellStart"/>
        <w:r>
          <w:rPr>
            <w:rStyle w:val="Hyperlink"/>
          </w:rPr>
          <w:t>pɒlɪʃ</w:t>
        </w:r>
        <w:proofErr w:type="spellEnd"/>
      </w:hyperlink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dɪˈpɛnd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ˌ</w:t>
      </w:r>
      <w:proofErr w:type="spellStart"/>
      <w:r>
        <w:rPr>
          <w:rStyle w:val="transcribedword"/>
        </w:rPr>
        <w:t>ɛntəˈteɪn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ˌ</w:t>
      </w:r>
      <w:proofErr w:type="spellStart"/>
      <w:r>
        <w:rPr>
          <w:rStyle w:val="transcribedword"/>
        </w:rPr>
        <w:t>rɛzəˈrɛkt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əˈbændən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dɪˈlɪvə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ˌ</w:t>
      </w:r>
      <w:proofErr w:type="spellStart"/>
      <w:r>
        <w:rPr>
          <w:rStyle w:val="transcribedword"/>
        </w:rPr>
        <w:t>ɪntəˈrʌpt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ɪˈlɪsɪt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ˌ</w:t>
      </w:r>
      <w:proofErr w:type="spellStart"/>
      <w:r>
        <w:rPr>
          <w:rStyle w:val="transcribedword"/>
        </w:rPr>
        <w:t>kɒmənˈdɪə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ɪˈmæʤɪn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dɪˈtɜːmɪn</w:t>
      </w:r>
      <w:proofErr w:type="spellEnd"/>
      <w:r>
        <w:rPr>
          <w:rStyle w:val="nontranscriptable"/>
        </w:rPr>
        <w:t xml:space="preserve"> </w:t>
      </w:r>
      <w:r>
        <w:br/>
      </w:r>
      <w:hyperlink r:id="rId10" w:history="1">
        <w:r>
          <w:rPr>
            <w:rStyle w:val="Hyperlink"/>
          </w:rPr>
          <w:t>ˈ</w:t>
        </w:r>
        <w:proofErr w:type="spellStart"/>
        <w:r>
          <w:rPr>
            <w:rStyle w:val="Hyperlink"/>
          </w:rPr>
          <w:t>sɛprɪt</w:t>
        </w:r>
        <w:proofErr w:type="spellEnd"/>
      </w:hyperlink>
    </w:p>
    <w:p w:rsidR="0071598C" w:rsidRDefault="0071598C">
      <w:pPr>
        <w:rPr>
          <w:rStyle w:val="transcribedword"/>
        </w:rPr>
      </w:pPr>
    </w:p>
    <w:p w:rsidR="0071598C" w:rsidRDefault="0071598C">
      <w:pPr>
        <w:rPr>
          <w:rStyle w:val="transcribedword"/>
        </w:rPr>
      </w:pPr>
    </w:p>
    <w:p w:rsidR="0071598C" w:rsidRDefault="0071598C">
      <w:pPr>
        <w:rPr>
          <w:rStyle w:val="transcribedword"/>
        </w:rPr>
      </w:pPr>
    </w:p>
    <w:p w:rsidR="0071598C" w:rsidRDefault="0071598C">
      <w:pPr>
        <w:rPr>
          <w:rStyle w:val="transcribedword"/>
        </w:rPr>
      </w:pPr>
    </w:p>
    <w:p w:rsidR="0071598C" w:rsidRDefault="0071598C">
      <w:r>
        <w:rPr>
          <w:rStyle w:val="transcribedword"/>
        </w:rPr>
        <w:t>ˈ</w:t>
      </w:r>
      <w:proofErr w:type="spellStart"/>
      <w:r>
        <w:rPr>
          <w:rStyle w:val="transcribedword"/>
        </w:rPr>
        <w:t>iːzi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kəmˈpliːt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meɪʤə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əˈləʊn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bɪˈləʊ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jɛləʊ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ɜːli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səˈblaɪm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hɛvi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əˈlaɪv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ɪmˈpɔːtənt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ɪˈnɔːməs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dɛrɪlɪkt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dɛsɪməl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æbˈnɔːməl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ɪnsələnt</w:t>
      </w:r>
      <w:proofErr w:type="spellEnd"/>
      <w:r>
        <w:rPr>
          <w:rStyle w:val="nontranscriptable"/>
        </w:rPr>
        <w:t xml:space="preserve"> </w:t>
      </w:r>
      <w:r>
        <w:br/>
      </w:r>
      <w:bookmarkStart w:id="0" w:name="_GoBack"/>
      <w:bookmarkEnd w:id="0"/>
      <w:proofErr w:type="spellStart"/>
      <w:r>
        <w:rPr>
          <w:rStyle w:val="transcribedword"/>
        </w:rPr>
        <w:t>fænˈtæstɪk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nɛgətɪv</w:t>
      </w:r>
      <w:proofErr w:type="spellEnd"/>
      <w:r>
        <w:rPr>
          <w:rStyle w:val="nontranscriptable"/>
        </w:rPr>
        <w:t xml:space="preserve"> </w:t>
      </w:r>
      <w:r>
        <w:br/>
      </w:r>
      <w:r>
        <w:rPr>
          <w:rStyle w:val="transcribedword"/>
        </w:rPr>
        <w:t>ˈ</w:t>
      </w:r>
      <w:proofErr w:type="spellStart"/>
      <w:r>
        <w:rPr>
          <w:rStyle w:val="transcribedword"/>
        </w:rPr>
        <w:t>ækjʊrɪt</w:t>
      </w:r>
      <w:proofErr w:type="spellEnd"/>
      <w:r>
        <w:rPr>
          <w:rStyle w:val="nontranscriptable"/>
        </w:rPr>
        <w:t xml:space="preserve"> </w:t>
      </w:r>
      <w:r>
        <w:br/>
      </w:r>
      <w:proofErr w:type="spellStart"/>
      <w:r>
        <w:rPr>
          <w:rStyle w:val="transcribedword"/>
        </w:rPr>
        <w:t>ʌnˈlaɪkli</w:t>
      </w:r>
      <w:proofErr w:type="spellEnd"/>
    </w:p>
    <w:sectPr w:rsidR="007159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8C"/>
    <w:rsid w:val="00051EF9"/>
    <w:rsid w:val="00650A23"/>
    <w:rsid w:val="0071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ranscribedword">
    <w:name w:val="transcribed_word"/>
    <w:basedOn w:val="DefaultParagraphFont"/>
    <w:rsid w:val="0071598C"/>
  </w:style>
  <w:style w:type="character" w:customStyle="1" w:styleId="nontranscriptable">
    <w:name w:val="nontranscriptable"/>
    <w:basedOn w:val="DefaultParagraphFont"/>
    <w:rsid w:val="0071598C"/>
  </w:style>
  <w:style w:type="character" w:styleId="Hyperlink">
    <w:name w:val="Hyperlink"/>
    <w:basedOn w:val="DefaultParagraphFont"/>
    <w:uiPriority w:val="99"/>
    <w:semiHidden/>
    <w:unhideWhenUsed/>
    <w:rsid w:val="007159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ranscribedword">
    <w:name w:val="transcribed_word"/>
    <w:basedOn w:val="DefaultParagraphFont"/>
    <w:rsid w:val="0071598C"/>
  </w:style>
  <w:style w:type="character" w:customStyle="1" w:styleId="nontranscriptable">
    <w:name w:val="nontranscriptable"/>
    <w:basedOn w:val="DefaultParagraphFont"/>
    <w:rsid w:val="0071598C"/>
  </w:style>
  <w:style w:type="character" w:styleId="Hyperlink">
    <w:name w:val="Hyperlink"/>
    <w:basedOn w:val="DefaultParagraphFont"/>
    <w:uiPriority w:val="99"/>
    <w:semiHidden/>
    <w:unhideWhenUsed/>
    <w:rsid w:val="00715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gorado.com/ip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ngorado.com/ipa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ingorado.com/ip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lingorado.com/ipa/" TargetMode="External"/><Relationship Id="rId10" Type="http://schemas.openxmlformats.org/officeDocument/2006/relationships/hyperlink" Target="http://lingorado.com/ip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ngorado.com/ip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Bagudung</dc:creator>
  <cp:lastModifiedBy>Bagudung</cp:lastModifiedBy>
  <cp:revision>1</cp:revision>
  <dcterms:created xsi:type="dcterms:W3CDTF">2017-03-10T23:26:00Z</dcterms:created>
  <dcterms:modified xsi:type="dcterms:W3CDTF">2017-03-11T01:20:00Z</dcterms:modified>
</cp:coreProperties>
</file>